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31" w:rsidRDefault="00192931" w:rsidP="00192931">
      <w:pPr>
        <w:pStyle w:val="a3"/>
        <w:widowControl/>
        <w:tabs>
          <w:tab w:val="clear" w:pos="720"/>
          <w:tab w:val="clear" w:pos="1080"/>
          <w:tab w:val="clear" w:pos="1260"/>
        </w:tabs>
        <w:ind w:left="0" w:firstLine="709"/>
        <w:jc w:val="both"/>
        <w:rPr>
          <w:color w:val="000000"/>
          <w:sz w:val="22"/>
          <w:szCs w:val="22"/>
          <w:u w:val="single"/>
        </w:rPr>
      </w:pPr>
      <w:r w:rsidRPr="00E819B2">
        <w:rPr>
          <w:sz w:val="22"/>
          <w:szCs w:val="22"/>
        </w:rPr>
        <w:t xml:space="preserve">ЛЕКЦИЯ </w:t>
      </w:r>
      <w:r>
        <w:rPr>
          <w:sz w:val="22"/>
          <w:szCs w:val="22"/>
          <w:lang w:val="en-US"/>
        </w:rPr>
        <w:t>12.</w:t>
      </w:r>
      <w:r>
        <w:rPr>
          <w:b w:val="0"/>
          <w:sz w:val="22"/>
          <w:szCs w:val="22"/>
        </w:rPr>
        <w:t xml:space="preserve"> </w:t>
      </w:r>
      <w:r w:rsidRPr="000B795F">
        <w:rPr>
          <w:color w:val="000000"/>
          <w:sz w:val="22"/>
          <w:szCs w:val="22"/>
          <w:u w:val="single"/>
        </w:rPr>
        <w:t>ТЕМА 9.</w:t>
      </w:r>
      <w:r>
        <w:rPr>
          <w:color w:val="000000"/>
          <w:sz w:val="22"/>
          <w:szCs w:val="22"/>
          <w:u w:val="single"/>
        </w:rPr>
        <w:t xml:space="preserve"> </w:t>
      </w:r>
      <w:bookmarkStart w:id="0" w:name="_GoBack"/>
      <w:bookmarkEnd w:id="0"/>
      <w:r w:rsidRPr="000B795F">
        <w:rPr>
          <w:color w:val="000000"/>
          <w:sz w:val="22"/>
          <w:szCs w:val="22"/>
          <w:u w:val="single"/>
        </w:rPr>
        <w:t>СПОСОБЫ ОПТИМИЗАЦИИ НАЛОГОВ С ИСПОЛЬЗОВАНИЕМ МЕТОДОВ НАЛОГОВОГО УЧЕТА В НАЛОГОВОЙ ПОЛИТИКЕ КОМПАНИИ</w:t>
      </w:r>
    </w:p>
    <w:p w:rsidR="00192931" w:rsidRPr="000B795F" w:rsidRDefault="00192931" w:rsidP="00192931">
      <w:pPr>
        <w:pStyle w:val="a3"/>
        <w:widowControl/>
        <w:tabs>
          <w:tab w:val="clear" w:pos="720"/>
          <w:tab w:val="clear" w:pos="1080"/>
          <w:tab w:val="clear" w:pos="1260"/>
        </w:tabs>
        <w:ind w:left="0" w:firstLine="709"/>
        <w:jc w:val="both"/>
        <w:rPr>
          <w:bCs w:val="0"/>
          <w:iCs/>
          <w:sz w:val="22"/>
          <w:szCs w:val="22"/>
          <w:u w:val="single"/>
        </w:rPr>
      </w:pPr>
    </w:p>
    <w:p w:rsidR="00192931" w:rsidRPr="000B795F" w:rsidRDefault="00192931" w:rsidP="0019293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Цели и задачи разработки эффективной учетной политики компании</w:t>
      </w:r>
    </w:p>
    <w:p w:rsidR="00192931" w:rsidRPr="000B795F" w:rsidRDefault="00192931" w:rsidP="0019293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Взаимосвязь учетной политики с налогообложением и финансовым состоянием компании</w:t>
      </w:r>
    </w:p>
    <w:p w:rsidR="00192931" w:rsidRPr="000B795F" w:rsidRDefault="00192931" w:rsidP="0019293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Показатели учетной политики в целях налоговой оптимизации.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bCs/>
          <w:iCs/>
          <w:sz w:val="22"/>
          <w:szCs w:val="22"/>
        </w:rPr>
      </w:pP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>1 вопрос. Цели и задачи разработки эффективной учетной политики компании</w:t>
      </w:r>
    </w:p>
    <w:p w:rsidR="00192931" w:rsidRPr="000B795F" w:rsidRDefault="00192931" w:rsidP="00192931">
      <w:pPr>
        <w:pStyle w:val="book"/>
        <w:shd w:val="clear" w:color="auto" w:fill="FDFEFF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Налоговая политика </w:t>
      </w:r>
      <w:r w:rsidRPr="000B795F">
        <w:rPr>
          <w:bCs/>
          <w:sz w:val="22"/>
          <w:szCs w:val="22"/>
        </w:rPr>
        <w:t>компании</w:t>
      </w:r>
      <w:r w:rsidRPr="000B795F">
        <w:rPr>
          <w:color w:val="000000"/>
          <w:sz w:val="22"/>
          <w:szCs w:val="22"/>
        </w:rPr>
        <w:t xml:space="preserve"> – это выбранная совокупность способов ведения налогового учета путем первичного наблюдения, стоимостного измерения, текущей группировки и итогового обобщения фактов хозяйственно-финансовой деятельности на основе применения принципов налогового учета.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разработке учетной политики для целей бухгалтерского и налогового учета предприятия зачастую стоят перед выбором между двумя целями: минимизировать доходы и прибыли и, следовательно, налоги, либо максимизировать финансовые результаты для повышения инвестиционной привлекательности. Лишь в случае разработки самостоятельной налоговой и бухгалтерской учетной политики возможно достижение этих двух целей.</w:t>
      </w:r>
    </w:p>
    <w:p w:rsidR="00192931" w:rsidRPr="000B795F" w:rsidRDefault="00192931" w:rsidP="00192931">
      <w:pPr>
        <w:pStyle w:val="Style25"/>
        <w:widowControl/>
        <w:spacing w:line="240" w:lineRule="auto"/>
        <w:ind w:firstLine="709"/>
        <w:rPr>
          <w:rStyle w:val="FontStyle96"/>
        </w:rPr>
      </w:pPr>
      <w:r w:rsidRPr="000B795F">
        <w:rPr>
          <w:rStyle w:val="FontStyle96"/>
        </w:rPr>
        <w:t>В соответствии с требованиями Кодекса РК от 10.12.2008г. №99-</w:t>
      </w:r>
      <w:r w:rsidRPr="000B795F">
        <w:rPr>
          <w:rStyle w:val="FontStyle96"/>
          <w:lang w:val="en-US"/>
        </w:rPr>
        <w:t>IV</w:t>
      </w:r>
      <w:r w:rsidRPr="000B795F">
        <w:rPr>
          <w:rStyle w:val="FontStyle96"/>
        </w:rPr>
        <w:t xml:space="preserve"> «О налогах и других обязательных платежах в бюджет», введенного в действие 01 января 2009г., каждое предприятие или организация должны разработать и утвердить налоговую учетную политику-документ, отражающий специфику ведения налогового учета данного субъекта. Обязательность этого документа подтверждается статьей 208 Кодекса РК «Об административных правонарушениях» (КоАП РК), которая гласит:</w:t>
      </w:r>
    </w:p>
    <w:p w:rsidR="00192931" w:rsidRPr="000B795F" w:rsidRDefault="00192931" w:rsidP="0019293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</w:rPr>
        <w:t>«1.</w:t>
      </w:r>
      <w:r w:rsidRPr="000B795F">
        <w:rPr>
          <w:rStyle w:val="FontStyle96"/>
          <w:i/>
        </w:rPr>
        <w:t xml:space="preserve">Отсутствие у налогоплательщика учетной документации </w:t>
      </w:r>
      <w:r w:rsidRPr="000B795F">
        <w:rPr>
          <w:rStyle w:val="FontStyle96"/>
          <w:b/>
          <w:i/>
        </w:rPr>
        <w:t>(к которой, в соответствии со статьей 56 НК РК, относится налоговая учетная политика</w:t>
      </w:r>
      <w:r w:rsidRPr="000B795F">
        <w:rPr>
          <w:rStyle w:val="FontStyle96"/>
          <w:i/>
        </w:rPr>
        <w:t>) и(или)несоблюдение требований по составлению и хранению учетной документации, установленной законодательством РК, -</w:t>
      </w:r>
    </w:p>
    <w:p w:rsidR="00192931" w:rsidRPr="000B795F" w:rsidRDefault="00192931" w:rsidP="0019293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  <w:i/>
        </w:rPr>
        <w:t>влечет штраф на должностных лиц, индивидуальных предпринимателей в размере двадцати пяти месячных расчетных показателей, на юридических лиц, являющихся субъектами малого и среднего предпринимательства или некоммерческими организациям – в размере пятидесяти месячных расчетных показателей, на юридических лиц, являющихся субъектами крупного предпринимательства, - в размере семидесяти пяти месячных расчетных показателей</w:t>
      </w:r>
    </w:p>
    <w:p w:rsidR="00192931" w:rsidRPr="000B795F" w:rsidRDefault="00192931" w:rsidP="0019293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  <w:i/>
        </w:rPr>
        <w:t>2.Действия. предусмотренные частью первой настоящей статьи, совершенные повторно в течение года после наложения административного взыскания,-</w:t>
      </w:r>
    </w:p>
    <w:p w:rsidR="00192931" w:rsidRPr="000B795F" w:rsidRDefault="00192931" w:rsidP="00192931">
      <w:pPr>
        <w:pStyle w:val="Style25"/>
        <w:widowControl/>
        <w:spacing w:line="240" w:lineRule="auto"/>
        <w:ind w:firstLine="709"/>
        <w:rPr>
          <w:rStyle w:val="FontStyle96"/>
          <w:i/>
        </w:rPr>
      </w:pPr>
      <w:r w:rsidRPr="000B795F">
        <w:rPr>
          <w:rStyle w:val="FontStyle96"/>
          <w:i/>
        </w:rPr>
        <w:t>влечет штраф на должностных лиц, индивидуальных предпринимателей в размере тридцати пяти месячных расчетных показателей, на юридических лиц, являющихся субъектами малого и среднего предпринимательства или некоммерческими организациям – в размере шестидесяти месячных расчетных показателей, на юридических лиц, являющихся субъектами крупного предпринимательства, - в размере девяноста месячных расчетных показателей.»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Утверждение налоговой учетной политики не только необходимо для самой компании-налогоплательщика в соответствии с требованиями налогового законодательства, но и полезно для нее самой, так как ее отсутствие может повлечь за собой санкции, а также упущенные выгоды. С помощью учетной политики до налоговых органов доводятся сведения, необходимые для осуществления налогового контроля за правильностью исчисления и уплаты налогов. Кроме того, учетная политика закрепляет в одном документе все методики, которые организация-налогоплательщик применяет при исчислении налогов. И, наконец, учетная политика в целях налогообложения, являясь действенным инструментом налогового планирования, позволяет в определенных размерах корректировать величину налоговых платежей организации. И хотя правила ведения налогового учета едины, но в пределах единых норм существуют возможности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разработке учетной политики в целях налогообложения необходимо учитывать возможные трудности, связанные с постановкой и ведением налогового учета, зависят от ряда характеристик, например, таких, как: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организационно-правовая форма;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виды и объемы деятельности;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отраслевая специфика;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lastRenderedPageBreak/>
        <w:t>- штат и квалификация сотрудников финансово-бухгалтерской службы;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организация синтетического и аналитического учета;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- обеспечение учетного процесса средствами автоматизации.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 разработке соответствующей учетной политики необходимо одновременное достижение двух целей: постановка оптимальной системы налогового учета и закрепление в учетной политике таких элементов, которые бы не противоречили законодательству и максимально соответствовали специфике деятельности организации.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При разработке учетной политики предстоит решить следующие задачи: </w:t>
      </w:r>
    </w:p>
    <w:p w:rsidR="00192931" w:rsidRPr="000B795F" w:rsidRDefault="00192931" w:rsidP="0019293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сделать бухгалтерский учет прозрачным и доступным для понимания; </w:t>
      </w:r>
    </w:p>
    <w:p w:rsidR="00192931" w:rsidRPr="000B795F" w:rsidRDefault="00192931" w:rsidP="0019293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создать систему налогового учета; </w:t>
      </w:r>
    </w:p>
    <w:p w:rsidR="00192931" w:rsidRPr="000B795F" w:rsidRDefault="00192931" w:rsidP="0019293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предусмотреть определенные направления снижения налогов, не противоречащие действующему законодательству; </w:t>
      </w:r>
    </w:p>
    <w:p w:rsidR="00192931" w:rsidRPr="000B795F" w:rsidRDefault="00192931" w:rsidP="0019293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создать такую организацию финансовой (бухгалтерской) службы, которая способствовала бы своевременному и четкому решению задач бухгалтерского учета и налогообложения. Учетная политика должна быть действенным помощником, а не тем формальным документом, который во избежание проблем необходимо представлять в налоговый орган. При разработке учетной политики следует также учитывать специфику деятельности организации.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  <w:r w:rsidRPr="000B795F">
        <w:rPr>
          <w:b/>
          <w:bCs/>
          <w:iCs/>
          <w:sz w:val="22"/>
          <w:szCs w:val="22"/>
        </w:rPr>
        <w:t>2 вопрос. Взаимосвязь учетной политики с налогообложением и финансовым состоянием компании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Учетные приемы, формирующие оценку активов, порядок признания выручки от реализации и списания затрат, имеют прямую связь с налогообложением организации и ее финансовым положением. За счет выбора той или иной учетной методологии (в дозволенных законом пределах) можно выбирать наиболее выгодный способ учета. Поэтому определение и грамотное применение элементов учетной и налоговой политики составляет одно из направлений эффективного налогового планирования.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Большинство хозяйствующих субъектов, применяющих общий режим налогообложения, оптимизируют свою налоговую нагрузку, рационально формируя свою учетную и договорную политику.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В процессе формирования элементов учетной политики компания имеет право выбора одного из законодательно разрешенных вариантов отражения хозяйственных операций, который впоследствии оказывает влияние на величину налоговых обязательств: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метод определения даты реализации товаров (работ, услуг);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момент признания доходов и расходов по налогу на прибыль организаций;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формирование себестоимости продукции (работ, услуг) для целей налогообложения: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отнесение расходов к прямым и косвенным;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оценка материально-производственных запасов при выбытии;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порядок исчисления амортизации по основным средствам и их списание; </w:t>
      </w:r>
    </w:p>
    <w:p w:rsidR="00192931" w:rsidRPr="000B795F" w:rsidRDefault="00192931" w:rsidP="00192931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создание резервных фондов.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 способам ведения налогового учета относятся методы группировки и оценки фактов хозяйственно-финансовой жизни, списания стоимости активов, определения налогового учета реализации продукции, доходов и расходов, приемы организации документооборота, инвентаризации, системы учетных регистров, обработки информации и иные соответствующие способы, методы и приемы.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При формировании налоговой политики организации по конкретному вопросу ведения налогового учета осуществляется выбор одного из нескольких вариантов, допускаемых законодательными и нормативными актами, входящими в систему нормативного регулирования налогообложения в Казахстане. </w:t>
      </w:r>
      <w:proofErr w:type="spellStart"/>
      <w:r w:rsidRPr="000B795F">
        <w:rPr>
          <w:sz w:val="22"/>
          <w:szCs w:val="22"/>
        </w:rPr>
        <w:t>Многовариантность</w:t>
      </w:r>
      <w:proofErr w:type="spellEnd"/>
      <w:r w:rsidRPr="000B795F">
        <w:rPr>
          <w:sz w:val="22"/>
          <w:szCs w:val="22"/>
        </w:rPr>
        <w:t xml:space="preserve"> учета показателей деятельности хозяйствующего субъекта как раз и позволяет использовать налоговую политику в целях налоговой оптимизации. С точки зрения налоговой оптимизации важно обращать внимание на следующее: установление границ между основными и оборотными средствами, принятыми к учету; выбор метода оценки запасов товарно-материальных ценностей и расчета фактической себестоимости материальных ресурсов, списываемых в производство; способ начисления амортизации по основным средствам; способ группировки затрат и их включения в себестоимость реализованной продукции, работ, услуг; метод определения выручки от реализации продукции (товаров, работ, услуг).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Налоговая политика организации, являясь основным регулятором процесса организации налогового менеджмента, содержит названные выше способы оптимизации налогового портфеля предприятия посредством закрепления различных вариантов отражения в налоговом учете хозяйственных операций в краткосрочной перспективе. 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Правильно построенная учетная политика помогает налогоплательщикам получить определенную экономию при уплате корпоративного подоходного налога и налога на имущество. Исторический опыт бухгалтерии и современная хозяйственная практика дают многочисленные примеры того, как учетные решения оказывают самое непосредственное влияние на финансовое положение хозяйствующего субъекта.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 xml:space="preserve">Изучение и анализ получивших распространение на практике способов влияния на финансовые результаты деятельности предприятий с помощью учетной политики позволил нам выделить следующие виды: 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rPr>
          <w:sz w:val="22"/>
          <w:szCs w:val="22"/>
        </w:rPr>
      </w:pPr>
      <w:r w:rsidRPr="000B795F">
        <w:rPr>
          <w:spacing w:val="-1"/>
          <w:sz w:val="22"/>
          <w:szCs w:val="22"/>
        </w:rPr>
        <w:t>-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</w:rPr>
        <w:t>оценка себестоимости товарно-материальных запасов;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>-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интерпретация понесенных хозяйственных расходов;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rPr>
          <w:sz w:val="22"/>
          <w:szCs w:val="22"/>
          <w:lang w:val="ru-MO"/>
        </w:rPr>
      </w:pPr>
      <w:r w:rsidRPr="000B795F">
        <w:rPr>
          <w:sz w:val="22"/>
          <w:szCs w:val="22"/>
        </w:rPr>
        <w:t>- амортизация основных средств</w:t>
      </w:r>
      <w:r w:rsidRPr="000B795F">
        <w:rPr>
          <w:sz w:val="22"/>
          <w:szCs w:val="22"/>
          <w:lang w:val="ru-MO"/>
        </w:rPr>
        <w:t>;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rPr>
          <w:sz w:val="22"/>
          <w:szCs w:val="22"/>
          <w:lang w:val="ru-MO"/>
        </w:rPr>
      </w:pPr>
      <w:r w:rsidRPr="000B795F">
        <w:rPr>
          <w:sz w:val="22"/>
          <w:szCs w:val="22"/>
        </w:rPr>
        <w:t>-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структурирование хозяйствующего субъекта.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Стандарт бухгалтерского учета (СБУ 7) предусматривает четыре метода оценки себестоимости товарно-материальных запасов (в дальнейшем - ТМЗ)</w:t>
      </w:r>
      <w:r w:rsidRPr="000B795F">
        <w:rPr>
          <w:spacing w:val="-1"/>
          <w:sz w:val="22"/>
          <w:szCs w:val="22"/>
          <w:lang w:val="ru-MO"/>
        </w:rPr>
        <w:t>: -средне - взвешенной стоимости (СВС); -</w:t>
      </w:r>
      <w:r w:rsidRPr="000B795F">
        <w:rPr>
          <w:spacing w:val="-1"/>
          <w:sz w:val="22"/>
          <w:szCs w:val="22"/>
        </w:rPr>
        <w:t>ФИФО</w:t>
      </w:r>
      <w:r w:rsidRPr="000B795F">
        <w:rPr>
          <w:spacing w:val="-1"/>
          <w:sz w:val="22"/>
          <w:szCs w:val="22"/>
          <w:lang w:val="ru-MO"/>
        </w:rPr>
        <w:t xml:space="preserve"> (</w:t>
      </w:r>
      <w:r w:rsidRPr="000B795F">
        <w:rPr>
          <w:spacing w:val="-1"/>
          <w:sz w:val="22"/>
          <w:szCs w:val="22"/>
          <w:lang w:val="en-US"/>
        </w:rPr>
        <w:t>first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in</w:t>
      </w:r>
      <w:r w:rsidRPr="000B795F">
        <w:rPr>
          <w:spacing w:val="-1"/>
          <w:sz w:val="22"/>
          <w:szCs w:val="22"/>
          <w:lang w:val="ru-MO"/>
        </w:rPr>
        <w:t xml:space="preserve">, </w:t>
      </w:r>
      <w:r w:rsidRPr="000B795F">
        <w:rPr>
          <w:spacing w:val="-1"/>
          <w:sz w:val="22"/>
          <w:szCs w:val="22"/>
          <w:lang w:val="en-US"/>
        </w:rPr>
        <w:t>first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out</w:t>
      </w:r>
      <w:r w:rsidRPr="000B795F">
        <w:rPr>
          <w:spacing w:val="-1"/>
          <w:sz w:val="22"/>
          <w:szCs w:val="22"/>
          <w:lang w:val="ru-MO"/>
        </w:rPr>
        <w:t xml:space="preserve">, </w:t>
      </w:r>
      <w:r w:rsidRPr="000B795F">
        <w:rPr>
          <w:spacing w:val="-1"/>
          <w:sz w:val="22"/>
          <w:szCs w:val="22"/>
        </w:rPr>
        <w:t>т.е., первым поступил, первым обслужен)</w:t>
      </w:r>
      <w:r w:rsidRPr="000B795F">
        <w:rPr>
          <w:spacing w:val="-1"/>
          <w:sz w:val="22"/>
          <w:szCs w:val="22"/>
          <w:lang w:val="ru-MO"/>
        </w:rPr>
        <w:t>;</w:t>
      </w:r>
      <w:r w:rsidRPr="000B795F">
        <w:rPr>
          <w:spacing w:val="-1"/>
          <w:sz w:val="22"/>
          <w:szCs w:val="22"/>
        </w:rPr>
        <w:t>-ЛИФО</w:t>
      </w:r>
      <w:r w:rsidRPr="000B795F">
        <w:rPr>
          <w:spacing w:val="-1"/>
          <w:sz w:val="22"/>
          <w:szCs w:val="22"/>
          <w:lang w:val="ru-MO"/>
        </w:rPr>
        <w:t xml:space="preserve"> (</w:t>
      </w:r>
      <w:r w:rsidRPr="000B795F">
        <w:rPr>
          <w:spacing w:val="-1"/>
          <w:sz w:val="22"/>
          <w:szCs w:val="22"/>
          <w:lang w:val="en-US"/>
        </w:rPr>
        <w:t>last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in</w:t>
      </w:r>
      <w:r w:rsidRPr="000B795F">
        <w:rPr>
          <w:spacing w:val="-1"/>
          <w:sz w:val="22"/>
          <w:szCs w:val="22"/>
          <w:lang w:val="ru-MO"/>
        </w:rPr>
        <w:t xml:space="preserve">, </w:t>
      </w:r>
      <w:r w:rsidRPr="000B795F">
        <w:rPr>
          <w:spacing w:val="-1"/>
          <w:sz w:val="22"/>
          <w:szCs w:val="22"/>
          <w:lang w:val="en-US"/>
        </w:rPr>
        <w:t>first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  <w:lang w:val="en-US"/>
        </w:rPr>
        <w:t>out</w:t>
      </w:r>
      <w:r w:rsidRPr="000B795F">
        <w:rPr>
          <w:spacing w:val="-1"/>
          <w:sz w:val="22"/>
          <w:szCs w:val="22"/>
          <w:lang w:val="ru-MO"/>
        </w:rPr>
        <w:t xml:space="preserve">, </w:t>
      </w:r>
      <w:r w:rsidRPr="000B795F">
        <w:rPr>
          <w:spacing w:val="-1"/>
          <w:sz w:val="22"/>
          <w:szCs w:val="22"/>
        </w:rPr>
        <w:t>т</w:t>
      </w:r>
      <w:r w:rsidRPr="000B795F">
        <w:rPr>
          <w:spacing w:val="-1"/>
          <w:sz w:val="22"/>
          <w:szCs w:val="22"/>
          <w:lang w:val="ru-MO"/>
        </w:rPr>
        <w:t>.</w:t>
      </w:r>
      <w:r w:rsidRPr="000B795F">
        <w:rPr>
          <w:spacing w:val="-1"/>
          <w:sz w:val="22"/>
          <w:szCs w:val="22"/>
        </w:rPr>
        <w:t>е</w:t>
      </w:r>
      <w:r w:rsidRPr="000B795F">
        <w:rPr>
          <w:spacing w:val="-1"/>
          <w:sz w:val="22"/>
          <w:szCs w:val="22"/>
          <w:lang w:val="ru-MO"/>
        </w:rPr>
        <w:t xml:space="preserve">., </w:t>
      </w:r>
      <w:r w:rsidRPr="000B795F">
        <w:rPr>
          <w:spacing w:val="-1"/>
          <w:sz w:val="22"/>
          <w:szCs w:val="22"/>
        </w:rPr>
        <w:t>последняя партия на приход, первая - в расход);-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</w:rPr>
        <w:t>специфической идентификации (СИ)</w:t>
      </w:r>
      <w:r w:rsidRPr="000B795F">
        <w:rPr>
          <w:spacing w:val="-1"/>
          <w:sz w:val="22"/>
          <w:szCs w:val="22"/>
          <w:lang w:val="ru-MO"/>
        </w:rPr>
        <w:t xml:space="preserve"> [58</w:t>
      </w:r>
      <w:r w:rsidRPr="000B795F">
        <w:rPr>
          <w:spacing w:val="-1"/>
          <w:sz w:val="22"/>
          <w:szCs w:val="22"/>
        </w:rPr>
        <w:t>,с.33</w:t>
      </w:r>
      <w:r w:rsidRPr="000B795F">
        <w:rPr>
          <w:spacing w:val="-1"/>
          <w:sz w:val="22"/>
          <w:szCs w:val="22"/>
          <w:lang w:val="ru-MO"/>
        </w:rPr>
        <w:t xml:space="preserve">]. </w:t>
      </w:r>
      <w:proofErr w:type="gramStart"/>
      <w:r w:rsidRPr="000B795F">
        <w:rPr>
          <w:spacing w:val="-1"/>
          <w:sz w:val="22"/>
          <w:szCs w:val="22"/>
          <w:lang w:val="en-US"/>
        </w:rPr>
        <w:t>C</w:t>
      </w:r>
      <w:r w:rsidRPr="000B795F">
        <w:rPr>
          <w:spacing w:val="-1"/>
          <w:sz w:val="22"/>
          <w:szCs w:val="22"/>
        </w:rPr>
        <w:t xml:space="preserve"> 1 января 2005 г. метод оценки себестоимости товарно-материальных запасов ЛИФО, в связи с переходом на международные стандарты финансовой отчетности в Казахстане отменен.</w:t>
      </w:r>
      <w:proofErr w:type="gramEnd"/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Рассмотрим влияние каждого метода на валовой доход предприятия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 xml:space="preserve">«ТЕКСТИЛЬ», которое произвело в 2013г. закуп товарно-материальных запасов, приведённый в таблице 1. 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1- Перечень закупа ТМЗ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</w:r>
      <w:r w:rsidRPr="000B795F">
        <w:rPr>
          <w:sz w:val="22"/>
          <w:szCs w:val="22"/>
        </w:rPr>
        <w:tab/>
        <w:t>тыс. тенге</w:t>
      </w:r>
      <w:r w:rsidRPr="000B795F">
        <w:rPr>
          <w:sz w:val="22"/>
          <w:szCs w:val="22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1219"/>
        <w:gridCol w:w="1850"/>
        <w:gridCol w:w="3413"/>
      </w:tblGrid>
      <w:tr w:rsidR="00192931" w:rsidRPr="000B795F" w:rsidTr="00557EAB">
        <w:trPr>
          <w:trHeight w:val="36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Закупки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Кол-во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Цена</w:t>
            </w:r>
          </w:p>
        </w:tc>
        <w:tc>
          <w:tcPr>
            <w:tcW w:w="341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Стоимость</w:t>
            </w:r>
          </w:p>
        </w:tc>
      </w:tr>
      <w:tr w:rsidR="00192931" w:rsidRPr="000B795F" w:rsidTr="00557EAB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pStyle w:val="xl5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0B795F">
              <w:rPr>
                <w:spacing w:val="-4"/>
                <w:sz w:val="22"/>
                <w:szCs w:val="22"/>
              </w:rPr>
              <w:t>1.Первый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1000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3000</w:t>
            </w:r>
          </w:p>
        </w:tc>
      </w:tr>
      <w:tr w:rsidR="00192931" w:rsidRPr="000B795F" w:rsidTr="00557EAB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2.Второй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1200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3,2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3840</w:t>
            </w:r>
          </w:p>
        </w:tc>
      </w:tr>
      <w:tr w:rsidR="00192931" w:rsidRPr="000B795F" w:rsidTr="00557EAB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3.Третий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1500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3,6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5400</w:t>
            </w:r>
          </w:p>
        </w:tc>
      </w:tr>
      <w:tr w:rsidR="00192931" w:rsidRPr="000B795F" w:rsidTr="00557EAB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4.Четвертый квартал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2000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3,8</w:t>
            </w: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7600</w:t>
            </w:r>
          </w:p>
        </w:tc>
      </w:tr>
      <w:tr w:rsidR="00192931" w:rsidRPr="000B795F" w:rsidTr="00557EAB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Итого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5700</w:t>
            </w:r>
          </w:p>
        </w:tc>
        <w:tc>
          <w:tcPr>
            <w:tcW w:w="1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19840</w:t>
            </w:r>
          </w:p>
        </w:tc>
      </w:tr>
    </w:tbl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  <w:lang w:val="ru-MO"/>
        </w:rPr>
      </w:pPr>
      <w:r w:rsidRPr="000B795F">
        <w:rPr>
          <w:sz w:val="22"/>
          <w:szCs w:val="22"/>
        </w:rPr>
        <w:t>Остаток ТМЗ на конец года составил 170 единиц. Расчет показателей по рассматриваемым методам приведен в таблице 2.</w:t>
      </w:r>
      <w:r w:rsidRPr="000B795F">
        <w:rPr>
          <w:sz w:val="22"/>
          <w:szCs w:val="22"/>
          <w:lang w:val="ru-MO"/>
        </w:rPr>
        <w:t xml:space="preserve"> 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2 - Расчет показателей по методам оценки себестоимости товарно-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                    материальных запасов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2013г.*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тыс. тенге</w:t>
      </w: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94"/>
        <w:gridCol w:w="1417"/>
        <w:gridCol w:w="1469"/>
        <w:gridCol w:w="1260"/>
      </w:tblGrid>
      <w:tr w:rsidR="00192931" w:rsidRPr="000B795F" w:rsidTr="00557EAB">
        <w:trPr>
          <w:trHeight w:val="537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1417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СВС</w:t>
            </w:r>
          </w:p>
        </w:tc>
        <w:tc>
          <w:tcPr>
            <w:tcW w:w="1469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ФИФО</w:t>
            </w:r>
          </w:p>
        </w:tc>
        <w:tc>
          <w:tcPr>
            <w:tcW w:w="126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СИ</w:t>
            </w:r>
          </w:p>
        </w:tc>
      </w:tr>
      <w:tr w:rsidR="00192931" w:rsidRPr="000B795F" w:rsidTr="00557EAB">
        <w:trPr>
          <w:trHeight w:val="395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1.Доход от реализации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189 821,0</w:t>
            </w:r>
          </w:p>
        </w:tc>
        <w:tc>
          <w:tcPr>
            <w:tcW w:w="1469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  <w:tc>
          <w:tcPr>
            <w:tcW w:w="126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</w:tr>
      <w:tr w:rsidR="00192931" w:rsidRPr="000B795F" w:rsidTr="00557EAB">
        <w:trPr>
          <w:trHeight w:val="291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2.Поступление ТМЗ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19 840,0</w:t>
            </w:r>
          </w:p>
        </w:tc>
        <w:tc>
          <w:tcPr>
            <w:tcW w:w="1469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19 840,0</w:t>
            </w:r>
          </w:p>
        </w:tc>
        <w:tc>
          <w:tcPr>
            <w:tcW w:w="126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19 840,0</w:t>
            </w:r>
          </w:p>
        </w:tc>
      </w:tr>
      <w:tr w:rsidR="00192931" w:rsidRPr="000B795F" w:rsidTr="00557EAB">
        <w:trPr>
          <w:trHeight w:val="561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3.Средняя цена единицы материала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Для метода СВС 19840:5700=3,48</w:t>
            </w:r>
          </w:p>
        </w:tc>
        <w:tc>
          <w:tcPr>
            <w:tcW w:w="1417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3,48</w:t>
            </w:r>
          </w:p>
        </w:tc>
        <w:tc>
          <w:tcPr>
            <w:tcW w:w="1469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3,80</w:t>
            </w:r>
          </w:p>
        </w:tc>
        <w:tc>
          <w:tcPr>
            <w:tcW w:w="126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3,60</w:t>
            </w:r>
          </w:p>
        </w:tc>
      </w:tr>
      <w:tr w:rsidR="00192931" w:rsidRPr="000B795F" w:rsidTr="00557EAB">
        <w:trPr>
          <w:trHeight w:val="561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4.Стоимость ТМЗ на конец периода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Остаток ТМЗ*стр.3</w:t>
            </w:r>
          </w:p>
        </w:tc>
        <w:tc>
          <w:tcPr>
            <w:tcW w:w="1417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591,6</w:t>
            </w:r>
          </w:p>
        </w:tc>
        <w:tc>
          <w:tcPr>
            <w:tcW w:w="1469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646,0</w:t>
            </w:r>
          </w:p>
        </w:tc>
        <w:tc>
          <w:tcPr>
            <w:tcW w:w="126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612,0</w:t>
            </w:r>
          </w:p>
        </w:tc>
      </w:tr>
      <w:tr w:rsidR="00192931" w:rsidRPr="000B795F" w:rsidTr="00557EAB">
        <w:trPr>
          <w:trHeight w:val="994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5.Себестоимость реализованной продукции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Количество материала (израсходовано) (5700-170)*стр.3</w:t>
            </w:r>
          </w:p>
        </w:tc>
        <w:tc>
          <w:tcPr>
            <w:tcW w:w="1417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19 244,4</w:t>
            </w:r>
          </w:p>
        </w:tc>
        <w:tc>
          <w:tcPr>
            <w:tcW w:w="1469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21 014,0</w:t>
            </w:r>
          </w:p>
        </w:tc>
        <w:tc>
          <w:tcPr>
            <w:tcW w:w="126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19 908,0</w:t>
            </w:r>
          </w:p>
        </w:tc>
      </w:tr>
      <w:tr w:rsidR="00192931" w:rsidRPr="000B795F" w:rsidTr="00557EAB">
        <w:trPr>
          <w:trHeight w:val="315"/>
        </w:trPr>
        <w:tc>
          <w:tcPr>
            <w:tcW w:w="252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6.Валовой доход</w:t>
            </w:r>
          </w:p>
        </w:tc>
        <w:tc>
          <w:tcPr>
            <w:tcW w:w="269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стр.1-стр.5</w:t>
            </w:r>
          </w:p>
        </w:tc>
        <w:tc>
          <w:tcPr>
            <w:tcW w:w="1417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170 576,6</w:t>
            </w:r>
          </w:p>
        </w:tc>
        <w:tc>
          <w:tcPr>
            <w:tcW w:w="1469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168 807,0</w:t>
            </w:r>
          </w:p>
        </w:tc>
        <w:tc>
          <w:tcPr>
            <w:tcW w:w="126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169 913,0</w:t>
            </w:r>
          </w:p>
        </w:tc>
      </w:tr>
    </w:tbl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Из таблицы 2 видно, что высокий уровень дохода (170 576,6 тыс. тенге) мы получим, применив метод средне - взвешенной стоимости, наименьший валовой доход </w:t>
      </w:r>
      <w:r w:rsidRPr="000B795F">
        <w:rPr>
          <w:sz w:val="22"/>
          <w:szCs w:val="22"/>
          <w:lang w:val="ru-MO"/>
        </w:rPr>
        <w:t xml:space="preserve">(168 807,00 </w:t>
      </w:r>
      <w:r w:rsidRPr="000B795F">
        <w:rPr>
          <w:sz w:val="22"/>
          <w:szCs w:val="22"/>
        </w:rPr>
        <w:t>тыс. тенге) будет при использовании метода ФИФО.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 основе данных таблицы 2 рассмотрим влияние метода оценки ТМЗ на величину налога на имущество.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В таблице 3 приведены результаты расчета размера налога на имущество.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3 - Расчет налога на имущество по каждому методу оценки ТМЗ АО</w:t>
      </w: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                    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</w:t>
      </w:r>
    </w:p>
    <w:p w:rsidR="00192931" w:rsidRPr="000B795F" w:rsidRDefault="00192931" w:rsidP="00192931">
      <w:pPr>
        <w:shd w:val="clear" w:color="auto" w:fill="FFFFFF"/>
        <w:ind w:firstLine="709"/>
        <w:rPr>
          <w:sz w:val="22"/>
          <w:szCs w:val="22"/>
        </w:rPr>
      </w:pPr>
      <w:r w:rsidRPr="000B795F">
        <w:rPr>
          <w:sz w:val="22"/>
          <w:szCs w:val="22"/>
        </w:rPr>
        <w:t>тыс. тенге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1284"/>
        <w:gridCol w:w="1540"/>
        <w:gridCol w:w="1603"/>
        <w:gridCol w:w="1393"/>
      </w:tblGrid>
      <w:tr w:rsidR="00192931" w:rsidRPr="000B795F" w:rsidTr="00557EAB">
        <w:trPr>
          <w:trHeight w:val="589"/>
          <w:jc w:val="center"/>
        </w:trPr>
        <w:tc>
          <w:tcPr>
            <w:tcW w:w="3529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1284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15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СВС</w:t>
            </w:r>
          </w:p>
        </w:tc>
        <w:tc>
          <w:tcPr>
            <w:tcW w:w="1603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ФИФО</w:t>
            </w:r>
          </w:p>
        </w:tc>
        <w:tc>
          <w:tcPr>
            <w:tcW w:w="1393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СИ</w:t>
            </w:r>
          </w:p>
        </w:tc>
      </w:tr>
      <w:tr w:rsidR="00192931" w:rsidRPr="000B795F" w:rsidTr="00557EAB">
        <w:trPr>
          <w:trHeight w:val="527"/>
          <w:jc w:val="center"/>
        </w:trPr>
        <w:tc>
          <w:tcPr>
            <w:tcW w:w="3529" w:type="dxa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1.Стоимость ТМЗ на конец периода</w:t>
            </w:r>
          </w:p>
        </w:tc>
        <w:tc>
          <w:tcPr>
            <w:tcW w:w="1284" w:type="dxa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591,60</w:t>
            </w:r>
          </w:p>
        </w:tc>
        <w:tc>
          <w:tcPr>
            <w:tcW w:w="1603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646,00</w:t>
            </w:r>
          </w:p>
        </w:tc>
        <w:tc>
          <w:tcPr>
            <w:tcW w:w="1393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612,00</w:t>
            </w:r>
          </w:p>
        </w:tc>
      </w:tr>
      <w:tr w:rsidR="00192931" w:rsidRPr="000B795F" w:rsidTr="00557EAB">
        <w:trPr>
          <w:trHeight w:val="531"/>
          <w:jc w:val="center"/>
        </w:trPr>
        <w:tc>
          <w:tcPr>
            <w:tcW w:w="3529" w:type="dxa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2.Налогооблагаемая база по налогу на имущество</w:t>
            </w:r>
          </w:p>
        </w:tc>
        <w:tc>
          <w:tcPr>
            <w:tcW w:w="1284" w:type="dxa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 : 4</w:t>
            </w:r>
          </w:p>
        </w:tc>
        <w:tc>
          <w:tcPr>
            <w:tcW w:w="1540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147,90</w:t>
            </w:r>
          </w:p>
        </w:tc>
        <w:tc>
          <w:tcPr>
            <w:tcW w:w="1603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161,50</w:t>
            </w:r>
          </w:p>
        </w:tc>
        <w:tc>
          <w:tcPr>
            <w:tcW w:w="1393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153,00</w:t>
            </w:r>
          </w:p>
        </w:tc>
      </w:tr>
      <w:tr w:rsidR="00192931" w:rsidRPr="000B795F" w:rsidTr="00557EAB">
        <w:trPr>
          <w:trHeight w:val="332"/>
          <w:jc w:val="center"/>
        </w:trPr>
        <w:tc>
          <w:tcPr>
            <w:tcW w:w="3529" w:type="dxa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3.Сумма налога на имущество</w:t>
            </w:r>
          </w:p>
        </w:tc>
        <w:tc>
          <w:tcPr>
            <w:tcW w:w="1284" w:type="dxa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стр.2*1%</w:t>
            </w:r>
          </w:p>
        </w:tc>
        <w:tc>
          <w:tcPr>
            <w:tcW w:w="1540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1,48</w:t>
            </w:r>
          </w:p>
        </w:tc>
        <w:tc>
          <w:tcPr>
            <w:tcW w:w="1603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1,62</w:t>
            </w:r>
          </w:p>
        </w:tc>
        <w:tc>
          <w:tcPr>
            <w:tcW w:w="1393" w:type="dxa"/>
            <w:noWrap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1,53</w:t>
            </w:r>
          </w:p>
        </w:tc>
      </w:tr>
    </w:tbl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Расчет показывает, что наименьший размер налогооблагаемой базы будет достигнут, при использовании метода </w:t>
      </w:r>
      <w:proofErr w:type="spellStart"/>
      <w:r w:rsidRPr="000B795F">
        <w:rPr>
          <w:sz w:val="22"/>
          <w:szCs w:val="22"/>
        </w:rPr>
        <w:t>сре</w:t>
      </w:r>
      <w:proofErr w:type="spellEnd"/>
      <w:r w:rsidRPr="000B795F">
        <w:rPr>
          <w:sz w:val="22"/>
          <w:szCs w:val="22"/>
          <w:lang w:val="ru-MO"/>
        </w:rPr>
        <w:t xml:space="preserve">дне - взвешенной стоимости (1,48 </w:t>
      </w:r>
      <w:r w:rsidRPr="000B795F">
        <w:rPr>
          <w:sz w:val="22"/>
          <w:szCs w:val="22"/>
        </w:rPr>
        <w:t xml:space="preserve">тыс. тенге). Определим, каким образом меняется величина корпоративного подоходного налога предприятия при выборе того или иного метода оценки материальных запасов. 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  <w:lang w:val="ru-MO"/>
        </w:rPr>
      </w:pP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4 - Расчет корпоративного подоходного налога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по каждому методу*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тыс. тенге</w:t>
      </w:r>
    </w:p>
    <w:tbl>
      <w:tblPr>
        <w:tblW w:w="9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0"/>
        <w:gridCol w:w="1440"/>
        <w:gridCol w:w="1540"/>
        <w:gridCol w:w="1561"/>
        <w:gridCol w:w="1538"/>
      </w:tblGrid>
      <w:tr w:rsidR="00192931" w:rsidRPr="000B795F" w:rsidTr="00557EAB">
        <w:trPr>
          <w:trHeight w:val="440"/>
        </w:trPr>
        <w:tc>
          <w:tcPr>
            <w:tcW w:w="335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15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СВС</w:t>
            </w:r>
          </w:p>
        </w:tc>
        <w:tc>
          <w:tcPr>
            <w:tcW w:w="1561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ФИФО</w:t>
            </w:r>
          </w:p>
        </w:tc>
        <w:tc>
          <w:tcPr>
            <w:tcW w:w="1538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 СИ</w:t>
            </w:r>
          </w:p>
        </w:tc>
      </w:tr>
      <w:tr w:rsidR="00192931" w:rsidRPr="000B795F" w:rsidTr="00557EAB">
        <w:trPr>
          <w:trHeight w:val="519"/>
        </w:trPr>
        <w:tc>
          <w:tcPr>
            <w:tcW w:w="335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1.Выручка от реализации продукции</w:t>
            </w:r>
          </w:p>
        </w:tc>
        <w:tc>
          <w:tcPr>
            <w:tcW w:w="14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  <w:tc>
          <w:tcPr>
            <w:tcW w:w="1561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  <w:tc>
          <w:tcPr>
            <w:tcW w:w="1538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189 821,0</w:t>
            </w:r>
          </w:p>
        </w:tc>
      </w:tr>
      <w:tr w:rsidR="00192931" w:rsidRPr="000B795F" w:rsidTr="00557EAB">
        <w:trPr>
          <w:cantSplit/>
          <w:trHeight w:val="345"/>
        </w:trPr>
        <w:tc>
          <w:tcPr>
            <w:tcW w:w="335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2.Затраты на производство-всего</w:t>
            </w:r>
          </w:p>
        </w:tc>
        <w:tc>
          <w:tcPr>
            <w:tcW w:w="14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165 180,6</w:t>
            </w:r>
          </w:p>
        </w:tc>
        <w:tc>
          <w:tcPr>
            <w:tcW w:w="1561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163 411,0</w:t>
            </w:r>
          </w:p>
        </w:tc>
        <w:tc>
          <w:tcPr>
            <w:tcW w:w="1538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164 517,0</w:t>
            </w:r>
          </w:p>
        </w:tc>
      </w:tr>
      <w:tr w:rsidR="00192931" w:rsidRPr="000B795F" w:rsidTr="00557EAB">
        <w:trPr>
          <w:cantSplit/>
          <w:trHeight w:val="339"/>
        </w:trPr>
        <w:tc>
          <w:tcPr>
            <w:tcW w:w="335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в </w:t>
            </w:r>
            <w:proofErr w:type="spellStart"/>
            <w:r w:rsidRPr="000B795F">
              <w:rPr>
                <w:sz w:val="22"/>
                <w:szCs w:val="22"/>
              </w:rPr>
              <w:t>т.ч</w:t>
            </w:r>
            <w:proofErr w:type="spellEnd"/>
            <w:r w:rsidRPr="000B795F">
              <w:rPr>
                <w:sz w:val="22"/>
                <w:szCs w:val="22"/>
              </w:rPr>
              <w:t>. материальные</w:t>
            </w:r>
          </w:p>
        </w:tc>
        <w:tc>
          <w:tcPr>
            <w:tcW w:w="14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19 244,4</w:t>
            </w:r>
          </w:p>
        </w:tc>
        <w:tc>
          <w:tcPr>
            <w:tcW w:w="1561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21 014,0</w:t>
            </w:r>
          </w:p>
        </w:tc>
        <w:tc>
          <w:tcPr>
            <w:tcW w:w="1538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19 908,0</w:t>
            </w:r>
          </w:p>
        </w:tc>
      </w:tr>
      <w:tr w:rsidR="00192931" w:rsidRPr="000B795F" w:rsidTr="00557EAB">
        <w:trPr>
          <w:trHeight w:val="340"/>
        </w:trPr>
        <w:tc>
          <w:tcPr>
            <w:tcW w:w="335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3.Налогооблагаемый доход</w:t>
            </w:r>
          </w:p>
        </w:tc>
        <w:tc>
          <w:tcPr>
            <w:tcW w:w="1440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стр.1-стр.2</w:t>
            </w:r>
          </w:p>
        </w:tc>
        <w:tc>
          <w:tcPr>
            <w:tcW w:w="154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24 640,4</w:t>
            </w:r>
          </w:p>
        </w:tc>
        <w:tc>
          <w:tcPr>
            <w:tcW w:w="1561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26 410,0</w:t>
            </w:r>
          </w:p>
        </w:tc>
        <w:tc>
          <w:tcPr>
            <w:tcW w:w="1538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25 304,0</w:t>
            </w:r>
          </w:p>
        </w:tc>
      </w:tr>
      <w:tr w:rsidR="00192931" w:rsidRPr="000B795F" w:rsidTr="00557EAB">
        <w:trPr>
          <w:trHeight w:val="453"/>
        </w:trPr>
        <w:tc>
          <w:tcPr>
            <w:tcW w:w="3350" w:type="dxa"/>
            <w:vAlign w:val="center"/>
          </w:tcPr>
          <w:p w:rsidR="00192931" w:rsidRPr="000B795F" w:rsidRDefault="00192931" w:rsidP="00557EAB">
            <w:pPr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4.Размер корпоративного подоходного налога</w:t>
            </w:r>
          </w:p>
        </w:tc>
        <w:tc>
          <w:tcPr>
            <w:tcW w:w="144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стр.3*30%</w:t>
            </w:r>
          </w:p>
        </w:tc>
        <w:tc>
          <w:tcPr>
            <w:tcW w:w="1540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7392,12</w:t>
            </w:r>
          </w:p>
        </w:tc>
        <w:tc>
          <w:tcPr>
            <w:tcW w:w="1561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7923</w:t>
            </w:r>
          </w:p>
        </w:tc>
        <w:tc>
          <w:tcPr>
            <w:tcW w:w="1538" w:type="dxa"/>
            <w:noWrap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7591,2</w:t>
            </w:r>
          </w:p>
        </w:tc>
      </w:tr>
    </w:tbl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  <w:lang w:val="ru-MO"/>
        </w:rPr>
      </w:pPr>
      <w:r w:rsidRPr="000B795F">
        <w:rPr>
          <w:sz w:val="22"/>
          <w:szCs w:val="22"/>
        </w:rPr>
        <w:t>Расчёты, представленные в таблице 4, позволяют сделать вывод, что при оценке ТМЗ методом ФИФО величина корпоративного подоходного налога (в дальнейшем - КПН) возрастает до 7923 тыс. тенге, что на 6,8 % больше размера КПН при методе средневзвешенной стоимости и на 4,2% больше размера КПН при методе специфической идентификации</w:t>
      </w:r>
      <w:r w:rsidRPr="000B795F">
        <w:rPr>
          <w:sz w:val="22"/>
          <w:szCs w:val="22"/>
          <w:lang w:val="ru-MO"/>
        </w:rPr>
        <w:t xml:space="preserve">. </w:t>
      </w:r>
      <w:r w:rsidRPr="000B795F">
        <w:rPr>
          <w:sz w:val="22"/>
          <w:szCs w:val="22"/>
        </w:rPr>
        <w:t>Таким образом, приведённые расчёты наглядно демонстрируют, как выбор метода оценки ТМЗ в учетной политике предприятия влияет на размер налогового бремени.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  <w:lang w:val="ru-MO"/>
        </w:rPr>
      </w:pPr>
      <w:r w:rsidRPr="000B795F">
        <w:rPr>
          <w:sz w:val="22"/>
          <w:szCs w:val="22"/>
        </w:rPr>
        <w:t xml:space="preserve">В нашем примере наибольшее налоговое бремя предприятие понесет в том случае, если будет использовать метод оценки материально-производственных запасов по себестоимости первых по времени их закупок (сумма корпоративного подоходного налога и налога на имущество составит 7923 тыс. тенге) и наименьшее - при использовании метода средневзвешенной стоимости (7392,12 тыс. тенге). Отсюда можно сделать следующие выводы. Если обследуемое предприятие стремится к минимальному изъятию налогов, то его руководителю следует закрепить в учетной политике такой метод оценки производственно-материальных ресурсов, как средне - взвешенной стоимости. В таблице 5 приведён расчёт налоговой нагрузки АО «Алматы </w:t>
      </w:r>
      <w:proofErr w:type="spellStart"/>
      <w:r w:rsidRPr="000B795F">
        <w:rPr>
          <w:sz w:val="22"/>
          <w:szCs w:val="22"/>
        </w:rPr>
        <w:t>Клем</w:t>
      </w:r>
      <w:proofErr w:type="spellEnd"/>
      <w:r w:rsidRPr="000B795F">
        <w:rPr>
          <w:sz w:val="22"/>
          <w:szCs w:val="22"/>
        </w:rPr>
        <w:t xml:space="preserve">» при использовании разных методов оценки ТМЗ. 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Таблица 5- Расчет налоговой нагрузки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tbl>
      <w:tblPr>
        <w:tblW w:w="90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835"/>
        <w:gridCol w:w="1418"/>
        <w:gridCol w:w="992"/>
        <w:gridCol w:w="992"/>
        <w:gridCol w:w="2165"/>
      </w:tblGrid>
      <w:tr w:rsidR="00192931" w:rsidRPr="000B795F" w:rsidTr="00557EAB">
        <w:trPr>
          <w:trHeight w:val="878"/>
        </w:trPr>
        <w:tc>
          <w:tcPr>
            <w:tcW w:w="611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Расчет</w:t>
            </w:r>
          </w:p>
        </w:tc>
        <w:tc>
          <w:tcPr>
            <w:tcW w:w="992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Метод</w:t>
            </w:r>
          </w:p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 СВС</w:t>
            </w:r>
          </w:p>
        </w:tc>
        <w:tc>
          <w:tcPr>
            <w:tcW w:w="992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ФИФО</w:t>
            </w:r>
          </w:p>
        </w:tc>
        <w:tc>
          <w:tcPr>
            <w:tcW w:w="2165" w:type="dxa"/>
            <w:vAlign w:val="center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 xml:space="preserve">Метод </w:t>
            </w:r>
          </w:p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СИ</w:t>
            </w:r>
          </w:p>
        </w:tc>
      </w:tr>
      <w:tr w:rsidR="00192931" w:rsidRPr="000B795F" w:rsidTr="00557EAB">
        <w:trPr>
          <w:trHeight w:val="630"/>
        </w:trPr>
        <w:tc>
          <w:tcPr>
            <w:tcW w:w="611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bottom"/>
          </w:tcPr>
          <w:p w:rsidR="00192931" w:rsidRPr="000B795F" w:rsidRDefault="00192931" w:rsidP="00557EAB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Размер налога на имущество</w:t>
            </w:r>
          </w:p>
        </w:tc>
        <w:tc>
          <w:tcPr>
            <w:tcW w:w="1418" w:type="dxa"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1,48</w:t>
            </w:r>
          </w:p>
        </w:tc>
        <w:tc>
          <w:tcPr>
            <w:tcW w:w="992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1,62</w:t>
            </w:r>
          </w:p>
        </w:tc>
        <w:tc>
          <w:tcPr>
            <w:tcW w:w="2165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1,53</w:t>
            </w:r>
          </w:p>
        </w:tc>
      </w:tr>
      <w:tr w:rsidR="00192931" w:rsidRPr="000B795F" w:rsidTr="00557EAB">
        <w:trPr>
          <w:trHeight w:val="599"/>
        </w:trPr>
        <w:tc>
          <w:tcPr>
            <w:tcW w:w="611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bottom"/>
          </w:tcPr>
          <w:p w:rsidR="00192931" w:rsidRPr="000B795F" w:rsidRDefault="00192931" w:rsidP="00557EAB">
            <w:pPr>
              <w:jc w:val="both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Размер корпоративного подоходного налога</w:t>
            </w:r>
          </w:p>
        </w:tc>
        <w:tc>
          <w:tcPr>
            <w:tcW w:w="1418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7 392,12</w:t>
            </w:r>
          </w:p>
        </w:tc>
        <w:tc>
          <w:tcPr>
            <w:tcW w:w="992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7 923,00</w:t>
            </w:r>
          </w:p>
        </w:tc>
        <w:tc>
          <w:tcPr>
            <w:tcW w:w="2165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7 591,20</w:t>
            </w:r>
          </w:p>
        </w:tc>
      </w:tr>
      <w:tr w:rsidR="00192931" w:rsidRPr="000B795F" w:rsidTr="00557EAB">
        <w:trPr>
          <w:trHeight w:val="255"/>
        </w:trPr>
        <w:tc>
          <w:tcPr>
            <w:tcW w:w="611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стр.1+стр.2</w:t>
            </w:r>
          </w:p>
        </w:tc>
        <w:tc>
          <w:tcPr>
            <w:tcW w:w="992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7 393,60</w:t>
            </w:r>
          </w:p>
        </w:tc>
        <w:tc>
          <w:tcPr>
            <w:tcW w:w="992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7 924,62</w:t>
            </w:r>
          </w:p>
        </w:tc>
        <w:tc>
          <w:tcPr>
            <w:tcW w:w="2165" w:type="dxa"/>
            <w:noWrap/>
            <w:vAlign w:val="bottom"/>
          </w:tcPr>
          <w:p w:rsidR="00192931" w:rsidRPr="000B795F" w:rsidRDefault="00192931" w:rsidP="00557EAB">
            <w:pPr>
              <w:jc w:val="center"/>
              <w:rPr>
                <w:sz w:val="22"/>
                <w:szCs w:val="22"/>
              </w:rPr>
            </w:pPr>
            <w:r w:rsidRPr="000B795F">
              <w:rPr>
                <w:sz w:val="22"/>
                <w:szCs w:val="22"/>
              </w:rPr>
              <w:t>7 592,73</w:t>
            </w:r>
          </w:p>
        </w:tc>
      </w:tr>
    </w:tbl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*Рассчитано по данным годового отчета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shd w:val="clear" w:color="auto" w:fill="FFFFFF"/>
        <w:tabs>
          <w:tab w:val="left" w:pos="1066"/>
        </w:tabs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Таким образом при оценке материальных запасов методом средне - взвешенной стоимости ТОО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«ТЕКСТИЛЬ» в 2013г. может сэкономить 531,02 тыс. тенге (7924,62-7393,6). Если же предприятие пытается привлечь инвесторов, получить долгосрочные кредиты, увеличить размер уставного капитала, то руководству предприятия можно порекомендовать оценивать материально-производственные запасы методом ФИФО, т.к. данный метод позволяет увеличить стоимость</w:t>
      </w:r>
      <w:r w:rsidRPr="000B795F">
        <w:rPr>
          <w:sz w:val="22"/>
          <w:szCs w:val="22"/>
          <w:lang w:val="ru-MO"/>
        </w:rPr>
        <w:t xml:space="preserve"> </w:t>
      </w:r>
      <w:r w:rsidRPr="000B795F">
        <w:rPr>
          <w:sz w:val="22"/>
          <w:szCs w:val="22"/>
        </w:rPr>
        <w:t>остатков материальных ресурсов (в нашем примере –646 тыс. тенге ) (см. таблицу 3) и занизить затраты, связанные с производством продукции (минимальное значение - 163 411 тыс. тенге) (см. таблицу 4) и, таким образом, улучшить показатели финансового и имущественного состояния предприятия. Если цены на сырье и материалы имеют тенденцию к понижению, то использование предприятием метода ФИФО приведёт к увеличению стоимости использованных материалов, уменьшению балансовой прибыли, корпоративного подоходного налога, а также к уменьшению стоимости остатков материальных ресурсов, увеличит налогооблагаемую базу по налогу на имущество.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 xml:space="preserve">На величину налогооблагаемого дохода можно оказывать самое непосредственное влияние не только путём оценки активов и пассивов, но и </w:t>
      </w:r>
      <w:r w:rsidRPr="000B795F">
        <w:rPr>
          <w:spacing w:val="-1"/>
          <w:sz w:val="22"/>
          <w:szCs w:val="22"/>
          <w:lang w:val="en-US"/>
        </w:rPr>
        <w:t>c</w:t>
      </w:r>
      <w:r w:rsidRPr="000B795F">
        <w:rPr>
          <w:spacing w:val="-1"/>
          <w:sz w:val="22"/>
          <w:szCs w:val="22"/>
          <w:lang w:val="ru-MO"/>
        </w:rPr>
        <w:t xml:space="preserve"> </w:t>
      </w:r>
      <w:r w:rsidRPr="000B795F">
        <w:rPr>
          <w:spacing w:val="-1"/>
          <w:sz w:val="22"/>
          <w:szCs w:val="22"/>
        </w:rPr>
        <w:t>помощью интерпретации хозяйственных расходов</w:t>
      </w:r>
      <w:r w:rsidRPr="000B795F">
        <w:rPr>
          <w:spacing w:val="1"/>
          <w:sz w:val="22"/>
          <w:szCs w:val="22"/>
        </w:rPr>
        <w:t>. Поскольку многие виды хозяйственных расходов могут трактоваться по-разному в рамках действующего налогового законодательства, то при от</w:t>
      </w:r>
      <w:r w:rsidRPr="000B795F">
        <w:rPr>
          <w:sz w:val="22"/>
          <w:szCs w:val="22"/>
        </w:rPr>
        <w:t xml:space="preserve">ражении их в бухгалтерском учете необходимо выбирать оптимальную трактовку, выгодную хозяйствующему субъекту. Это справедливо в отношении, к примеру, таких расходов, как оплата информационных, консультационных и </w:t>
      </w:r>
      <w:r w:rsidRPr="000B795F">
        <w:rPr>
          <w:spacing w:val="1"/>
          <w:sz w:val="22"/>
          <w:szCs w:val="22"/>
        </w:rPr>
        <w:t>других профессиональных услуг; повышения квалификации кадров; транс</w:t>
      </w:r>
      <w:r w:rsidRPr="000B795F">
        <w:rPr>
          <w:spacing w:val="-1"/>
          <w:sz w:val="22"/>
          <w:szCs w:val="22"/>
        </w:rPr>
        <w:t>портных услуг.</w:t>
      </w:r>
    </w:p>
    <w:p w:rsidR="00192931" w:rsidRPr="000B795F" w:rsidRDefault="00192931" w:rsidP="0019293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pacing w:val="-1"/>
          <w:sz w:val="22"/>
          <w:szCs w:val="22"/>
        </w:rPr>
        <w:t xml:space="preserve">Важное значение, на наш взгляд, играет выбор способа амортизации основных средств. Влияние способа амортизации осуществляется ввиду того, что от способа списания основных средств зависит величина остаточной стоимости, которая в свою очередь влияет на размер налогооблагаемого дохода. П. 2 статьи 110 Налогового Кодекса РК </w:t>
      </w:r>
      <w:r w:rsidRPr="000B795F">
        <w:rPr>
          <w:rFonts w:ascii="Times New Roman" w:hAnsi="Times New Roman" w:cs="Times New Roman"/>
          <w:sz w:val="22"/>
          <w:szCs w:val="22"/>
        </w:rPr>
        <w:t>предоставляет право по фиксированным активам, впервые введенным в эксплуатацию в первый налоговый период исчислять амортизационные отчисления по двойным нормам амортизации. Однако к выбору способа исчисления амортизационных отчислений следует относиться с учетом последствий, которые могут возникнуть в последующие годы функционирования хозяйствующего субъекта. Пример выбора соответствующего варианта приведен нами при рассмотрении метода оптимизации плановых решений 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 соответствии со стандартами бухгалтерского учета СБУ №6 казахстанские хозяйствующие субъекты вправе самостоятельно предусматривать своей учетной политикой применение следующих методов начисления амортизации: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равномерного (прямолинейного) списания стоимости;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списание стоимости пропорционально объему выполненных работ (производственный метод);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ускоренного списания;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уменьшающегося остатка;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B795F">
        <w:rPr>
          <w:spacing w:val="-1"/>
          <w:sz w:val="22"/>
          <w:szCs w:val="22"/>
        </w:rPr>
        <w:t>- списание стоимости по сумме чисел (кумулятивный метод).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Заметим, что выбор метода амортизации в бухгалтерском учете может иметь практическое значение. Согласно ст.</w:t>
      </w:r>
      <w:r w:rsidRPr="000B795F">
        <w:rPr>
          <w:sz w:val="22"/>
          <w:szCs w:val="22"/>
          <w:lang w:val="ru-MO"/>
        </w:rPr>
        <w:t>354</w:t>
      </w:r>
      <w:r w:rsidRPr="000B795F">
        <w:rPr>
          <w:sz w:val="22"/>
          <w:szCs w:val="22"/>
        </w:rPr>
        <w:t xml:space="preserve"> Налогового Кодекса РК налоговой базой для исчисления налога является среднегодовая остаточная стоимость объектов обложения хозяйствующего субъекта, которая определяется на основании данных бухгалтерского учета. При расчете среднегодовой стоимости имущества следует включать в налогооблагаемую базу тот остаток стоимости основных средств, который формируется в соответствии с учетной политикой предприятия и который отражен в бухгалтерском балансе. Это обстоятельство может быть использовано при оптимизации налоговых выплат.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pacing w:val="1"/>
          <w:sz w:val="22"/>
          <w:szCs w:val="22"/>
        </w:rPr>
        <w:t>Кроме вышесказанного, следует отметить, что на процесс оптимизации налогового планирования влияет также структурирование хозяйствующего субъекта, которое</w:t>
      </w:r>
      <w:r w:rsidRPr="000B795F">
        <w:rPr>
          <w:i/>
          <w:iCs/>
          <w:spacing w:val="1"/>
          <w:sz w:val="22"/>
          <w:szCs w:val="22"/>
        </w:rPr>
        <w:t xml:space="preserve"> </w:t>
      </w:r>
      <w:r w:rsidRPr="000B795F">
        <w:rPr>
          <w:spacing w:val="1"/>
          <w:sz w:val="22"/>
          <w:szCs w:val="22"/>
        </w:rPr>
        <w:t>предполагает построе</w:t>
      </w:r>
      <w:r w:rsidRPr="000B795F">
        <w:rPr>
          <w:spacing w:val="-1"/>
          <w:sz w:val="22"/>
          <w:szCs w:val="22"/>
        </w:rPr>
        <w:t>ние оптимальной с точки зрения конечных финансовых результатов структу</w:t>
      </w:r>
      <w:r w:rsidRPr="000B795F">
        <w:rPr>
          <w:spacing w:val="2"/>
          <w:sz w:val="22"/>
          <w:szCs w:val="22"/>
        </w:rPr>
        <w:t>ры. В рамках этого подхода может быть использована, например, возмож</w:t>
      </w:r>
      <w:r w:rsidRPr="000B795F">
        <w:rPr>
          <w:sz w:val="22"/>
          <w:szCs w:val="22"/>
        </w:rPr>
        <w:t>ность выделения подразделений на отдельный баланс либо, наоборот, ликви</w:t>
      </w:r>
      <w:r w:rsidRPr="000B795F">
        <w:rPr>
          <w:spacing w:val="1"/>
          <w:sz w:val="22"/>
          <w:szCs w:val="22"/>
        </w:rPr>
        <w:t xml:space="preserve">дация самостоятельности некоторых дочерних организаций. </w:t>
      </w:r>
    </w:p>
    <w:p w:rsidR="00192931" w:rsidRPr="000B795F" w:rsidRDefault="00192931" w:rsidP="00192931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spacing w:val="1"/>
          <w:sz w:val="22"/>
          <w:szCs w:val="22"/>
        </w:rPr>
        <w:t>Таким образом, учетная политика, выступает важным фактором эффективного управления хозяйствующим субъектом в силу того, что она обеспечивает реализацию общей финансовой политики субъек</w:t>
      </w:r>
      <w:r w:rsidRPr="000B795F">
        <w:rPr>
          <w:spacing w:val="-6"/>
          <w:sz w:val="22"/>
          <w:szCs w:val="22"/>
        </w:rPr>
        <w:t>та.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b/>
          <w:bCs/>
          <w:iCs/>
          <w:sz w:val="22"/>
          <w:szCs w:val="22"/>
        </w:rPr>
      </w:pPr>
      <w:r w:rsidRPr="000B795F">
        <w:rPr>
          <w:b/>
          <w:bCs/>
          <w:iCs/>
          <w:sz w:val="22"/>
          <w:szCs w:val="22"/>
        </w:rPr>
        <w:t>3 вопрос. Показатели учетной политики в целях налоговой оптимизации.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Показателем того, насколько действенно использование учетной политики в целях налоговой оптимизации, является величина эффекта «налоговой экономии», за счет которой достигается увеличение ресурсов, остающихся в распоряжении предприятия. Данный эффект возникает за счет непосредственного уменьшения величины взимаемых налогов, а также за счет распределения финансовых потоков во времени, когда первыми следуют меньшие платежи, а последними - большие суммы налоговых выплат.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Переоценку объектов основных средств, без особой необходимости проводить нецелесообразно и можно не отражать в учетной политике  (как это справедливо сделано на всех обследованных предприятиях). В настоящее время не наблюдается гиперинфляции, которая доводит балансовую стоимость активов длительного использования до абсурда. К тому же процедура переоценки основных средств в настоящее время является трудоемкой и затратной. И, как было отмечено ранее, переоценка с повышающими коэффициентами ведет к увеличению остаточной стоимости основных средств и, соответственно, налогооблагаемой базы по налогу на имущество; понижающие коэффициенты ведут к уменьшению последующих амортизационных начислений и затрат, следовательно, к увеличению будущей налогооблагаемой прибыли.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 xml:space="preserve">В части амортизации основных средств, с позиции налогового менеджмента предприятию целесообразно производить максимальное списание объектов основных средств на затраты в виде начисленного износа.  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Создание резервов на гарантийный ремонт реализованных товаров соответствует международным нормам и в силу этого перспективно. Однако следует иметь в виду, что подобное резервирование позволяет уменьшать налогооблагаемую прибыль лишь в промежуточной отчетности. По итогам отчетного года неиспользованные резервы сторнируются, что может привести к резкому росту налогооблагаемой прибыли в годовой отчетности.</w:t>
      </w:r>
    </w:p>
    <w:p w:rsidR="00192931" w:rsidRPr="000B795F" w:rsidRDefault="00192931" w:rsidP="00192931">
      <w:pPr>
        <w:pStyle w:val="a5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r w:rsidRPr="000B795F">
        <w:rPr>
          <w:iCs/>
          <w:sz w:val="22"/>
          <w:szCs w:val="22"/>
        </w:rPr>
        <w:t>И, наконец, в части распределения чистой прибыли, чистая прибыль -- это прибыль, остающаяся в распоряжении предприятия после уплаты налогов и других обязательных платежей. Порядок ее использования (через образование фондов потребления и накопления или без них) на налогообложение не влияет. Поэтому данный вопрос -- скорее элемент финансовой, но не налоговой политики. В учетной политике, предпочтительным является вариант использования чистой прибыли без предварительного распределения по фондам, учитывая изменчивость внешней среды и малый масштаб деятельности большинства предприятий сферы услуг.</w:t>
      </w:r>
    </w:p>
    <w:p w:rsidR="00192931" w:rsidRPr="000B795F" w:rsidRDefault="00192931" w:rsidP="00192931">
      <w:pPr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Контрольные вопросы</w:t>
      </w: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1.Какой метод списания материалов целесообразнее производить в период инфляции в целях оптимизации?</w:t>
      </w: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2.Целесообразно ли производить создание резервов на гарантийный ремонт основных средств в целях оптимизации налогового менеджмента? И почему?</w:t>
      </w: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3.По каким показателям можно судить об эффективности налогового менеджмента предприятия?</w:t>
      </w: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4.Всегда ли налоговая политика предприятия соответствует финансовой? И если нет, то приведите примеры. </w:t>
      </w:r>
    </w:p>
    <w:p w:rsidR="00192931" w:rsidRPr="000B795F" w:rsidRDefault="00192931" w:rsidP="0019293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5. Верно ли утверждение, что эффективность налоговой политики приводит к увеличению чистой прибыли? 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29C"/>
    <w:multiLevelType w:val="hybridMultilevel"/>
    <w:tmpl w:val="8D04353C"/>
    <w:lvl w:ilvl="0" w:tplc="085AC79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AC08C0"/>
    <w:multiLevelType w:val="hybridMultilevel"/>
    <w:tmpl w:val="C5AAB316"/>
    <w:lvl w:ilvl="0" w:tplc="085AC79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CE4BDE"/>
    <w:multiLevelType w:val="hybridMultilevel"/>
    <w:tmpl w:val="8508F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31"/>
    <w:rsid w:val="00192931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931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192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aliases w:val="Обычный (веб)1,Обычный (веб)1 Знак Знак Зн,Обычный (Web)"/>
    <w:basedOn w:val="a"/>
    <w:uiPriority w:val="99"/>
    <w:rsid w:val="00192931"/>
    <w:pPr>
      <w:spacing w:before="100" w:beforeAutospacing="1" w:after="100" w:afterAutospacing="1"/>
    </w:pPr>
  </w:style>
  <w:style w:type="paragraph" w:customStyle="1" w:styleId="book">
    <w:name w:val="book"/>
    <w:basedOn w:val="a"/>
    <w:rsid w:val="00192931"/>
    <w:pPr>
      <w:ind w:firstLine="424"/>
    </w:pPr>
  </w:style>
  <w:style w:type="paragraph" w:customStyle="1" w:styleId="xl57">
    <w:name w:val="xl57"/>
    <w:basedOn w:val="a"/>
    <w:rsid w:val="0019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rsid w:val="001929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5">
    <w:name w:val="Style25"/>
    <w:basedOn w:val="a"/>
    <w:rsid w:val="00192931"/>
    <w:pPr>
      <w:widowControl w:val="0"/>
      <w:autoSpaceDE w:val="0"/>
      <w:autoSpaceDN w:val="0"/>
      <w:adjustRightInd w:val="0"/>
      <w:spacing w:line="258" w:lineRule="exact"/>
      <w:ind w:firstLine="389"/>
      <w:jc w:val="both"/>
    </w:pPr>
  </w:style>
  <w:style w:type="character" w:customStyle="1" w:styleId="FontStyle96">
    <w:name w:val="Font Style96"/>
    <w:rsid w:val="0019293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931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192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aliases w:val="Обычный (веб)1,Обычный (веб)1 Знак Знак Зн,Обычный (Web)"/>
    <w:basedOn w:val="a"/>
    <w:uiPriority w:val="99"/>
    <w:rsid w:val="00192931"/>
    <w:pPr>
      <w:spacing w:before="100" w:beforeAutospacing="1" w:after="100" w:afterAutospacing="1"/>
    </w:pPr>
  </w:style>
  <w:style w:type="paragraph" w:customStyle="1" w:styleId="book">
    <w:name w:val="book"/>
    <w:basedOn w:val="a"/>
    <w:rsid w:val="00192931"/>
    <w:pPr>
      <w:ind w:firstLine="424"/>
    </w:pPr>
  </w:style>
  <w:style w:type="paragraph" w:customStyle="1" w:styleId="xl57">
    <w:name w:val="xl57"/>
    <w:basedOn w:val="a"/>
    <w:rsid w:val="00192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rsid w:val="001929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5">
    <w:name w:val="Style25"/>
    <w:basedOn w:val="a"/>
    <w:rsid w:val="00192931"/>
    <w:pPr>
      <w:widowControl w:val="0"/>
      <w:autoSpaceDE w:val="0"/>
      <w:autoSpaceDN w:val="0"/>
      <w:adjustRightInd w:val="0"/>
      <w:spacing w:line="258" w:lineRule="exact"/>
      <w:ind w:firstLine="389"/>
      <w:jc w:val="both"/>
    </w:pPr>
  </w:style>
  <w:style w:type="character" w:customStyle="1" w:styleId="FontStyle96">
    <w:name w:val="Font Style96"/>
    <w:rsid w:val="001929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3155</Words>
  <Characters>17986</Characters>
  <Application>Microsoft Macintosh Word</Application>
  <DocSecurity>0</DocSecurity>
  <Lines>149</Lines>
  <Paragraphs>42</Paragraphs>
  <ScaleCrop>false</ScaleCrop>
  <Company>Dom</Company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2021-10-14T02:08:00Z</dcterms:created>
  <dcterms:modified xsi:type="dcterms:W3CDTF">2021-10-14T02:09:00Z</dcterms:modified>
</cp:coreProperties>
</file>